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02A1DB0" w:rsidR="00093CA9" w:rsidRDefault="002C21CC"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8722CB"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4B194CE" w:rsidR="00093CA9" w:rsidRPr="0032734A" w:rsidRDefault="00F96C52" w:rsidP="007D4EC2">
            <w:pPr>
              <w:rPr>
                <w:lang w:val="es-ES"/>
              </w:rPr>
            </w:pPr>
            <w:r w:rsidRPr="0032734A">
              <w:rPr>
                <w:lang w:val="en-US"/>
              </w:rPr>
              <w:t>CFS EC 008 of 2021 integrated in CFS EC 006 of 2025</w:t>
            </w:r>
            <w:r w:rsidR="0032734A" w:rsidRPr="0032734A">
              <w:rPr>
                <w:lang w:val="en-US"/>
              </w:rPr>
              <w:t>.</w:t>
            </w:r>
            <w:r w:rsidR="0032734A">
              <w:rPr>
                <w:lang w:val="en-US"/>
              </w:rPr>
              <w:t xml:space="preserve"> </w:t>
            </w:r>
            <w:r w:rsidR="0032734A" w:rsidRPr="0032734A">
              <w:rPr>
                <w:lang w:val="en-US"/>
              </w:rPr>
              <w:t xml:space="preserve">Instructions related to the issuance of sustainability-linked bonds. </w:t>
            </w:r>
            <w:r w:rsidR="0032734A" w:rsidRPr="0032734A">
              <w:rPr>
                <w:lang w:val="es-ES"/>
              </w:rPr>
              <w:t>(Instrucciones relacionadas con la emisión de bonos vinculados al desempeño sostenible</w:t>
            </w:r>
            <w:r w:rsidR="0032734A">
              <w:rPr>
                <w:lang w:val="es-ES"/>
              </w:rPr>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9C40004" w:rsidR="00093CA9" w:rsidRDefault="001428AC" w:rsidP="00093CA9">
            <w:hyperlink r:id="rId17" w:history="1">
              <w:r w:rsidRPr="0024663C">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30E4ADC" w:rsidR="00093CA9" w:rsidRDefault="00EB7E8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5C2017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D2950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285E5B8" w14:textId="77777777" w:rsidR="0091141E" w:rsidRDefault="0091141E" w:rsidP="0091141E">
            <w:pPr>
              <w:jc w:val="both"/>
            </w:pPr>
            <w:r w:rsidRPr="0091141E">
              <w:t>The policy tool established by the</w:t>
            </w:r>
            <w:r w:rsidRPr="00CE731A">
              <w:t xml:space="preserve"> </w:t>
            </w:r>
            <w:r w:rsidRPr="0091141E">
              <w:t xml:space="preserve">Superintendency of Financial </w:t>
            </w:r>
            <w:r>
              <w:t>I</w:t>
            </w:r>
            <w:r w:rsidRPr="0091141E">
              <w:t xml:space="preserve">nstitutions through </w:t>
            </w:r>
            <w:r w:rsidRPr="001507AC">
              <w:t>EC 00</w:t>
            </w:r>
            <w:r>
              <w:t>8</w:t>
            </w:r>
            <w:r w:rsidRPr="001507AC">
              <w:t xml:space="preserve"> of 2021 integrated in CFS EC 0</w:t>
            </w:r>
            <w:r>
              <w:t>06</w:t>
            </w:r>
            <w:r w:rsidRPr="001507AC">
              <w:t xml:space="preserve"> of 20</w:t>
            </w:r>
            <w:r>
              <w:t xml:space="preserve">25 </w:t>
            </w:r>
            <w:r w:rsidRPr="0091141E">
              <w:t xml:space="preserve">is a regulatory framework for the issuance of sustainability-linked bonds. Its primary goal is to standardize the minimum information requirements for registering these financial instruments in the National Registry of Securities and Issuers (RNVE), ensuring alignment with international standards such as those set by the International Capital Market Association (ICMA). </w:t>
            </w:r>
          </w:p>
          <w:p w14:paraId="18257824" w14:textId="38DC9D28" w:rsidR="00093CA9" w:rsidRDefault="0091141E" w:rsidP="0091141E">
            <w:pPr>
              <w:jc w:val="both"/>
            </w:pPr>
            <w:r w:rsidRPr="0091141E">
              <w:t>This tool is highly relevant to climate-related disclosure as it mandates issuers to provide transparent, consistent, and comprehensive information regarding the environmental and sustainability performance targets tied to the bonds. By doing so, it promotes the mobilization of capital towards a low-carbon, resilient, and more sustainable economy, while enhancing market confidence and accountability in climate-related financial products.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5CA83AE" w:rsidR="00093CA9" w:rsidRDefault="0091141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252AA120" w:rsidR="00093CA9" w:rsidRDefault="0091141E"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FD82F5" w:rsidR="00093CA9" w:rsidRDefault="0091141E" w:rsidP="00093CA9">
            <w:r w:rsidRPr="003D57E5">
              <w:t xml:space="preserve">To modernize the broader regulatory architecture, the </w:t>
            </w:r>
            <w:r>
              <w:t>SFC</w:t>
            </w:r>
            <w:r w:rsidRPr="003D57E5">
              <w:t xml:space="preserve"> has re-issued and streamlined the Circular Básica Jurídica (CBJ) through Circular 006 of 2025. Effective 26 June 2025</w:t>
            </w:r>
            <w:r>
              <w:t xml:space="preserve">. </w:t>
            </w:r>
            <w:r w:rsidRPr="003D57E5">
              <w:t>The main objectives of this new Circular are to update, simplify, and clarify the regulatory framework in order to enhance its efficiency, coherence, and transparency, in line with national and international standards for regulatory improvement and digital transformation.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966F562" w:rsidR="00093CA9" w:rsidRPr="00173D7C" w:rsidRDefault="0091141E"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5814B33" w:rsidR="00093CA9" w:rsidRPr="00173D7C" w:rsidRDefault="0091141E"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214253CD" w14:textId="77777777" w:rsidR="0091141E" w:rsidRDefault="0091141E" w:rsidP="0091141E">
            <w:pPr>
              <w:jc w:val="both"/>
            </w:pPr>
            <w:r>
              <w:t xml:space="preserve">The policy tool is authored and issued by the </w:t>
            </w:r>
            <w:r>
              <w:rPr>
                <w:lang w:val="en-US"/>
              </w:rPr>
              <w:t>SFC</w:t>
            </w:r>
            <w:r>
              <w:t>, which is a technical government agency attached to the Ministry of Finance and Public Credit. The SFC possesses legal personality, as well as administrative and financial autonomy, and its own assets.</w:t>
            </w:r>
          </w:p>
          <w:p w14:paraId="7961F236" w14:textId="0895AC81" w:rsidR="00093CA9" w:rsidRDefault="0091141E" w:rsidP="0091141E">
            <w:pPr>
              <w:jc w:val="both"/>
            </w:pPr>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EE56C2E" w:rsidR="00093CA9" w:rsidRPr="006B7B0D" w:rsidRDefault="0091141E" w:rsidP="00093CA9">
            <w:r w:rsidRPr="005E4C3B">
              <w:t xml:space="preserve">Superintendency of Financial </w:t>
            </w:r>
            <w:r>
              <w:t>I</w:t>
            </w:r>
            <w:r w:rsidRPr="005E4C3B">
              <w:t>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9D8622F" w:rsidR="00093CA9" w:rsidRPr="006B7B0D" w:rsidRDefault="0091141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D3B4BBD" w:rsidR="00093CA9" w:rsidRDefault="0091141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8555D3D" w14:textId="77777777" w:rsidR="00AD3598" w:rsidRDefault="00AD3598" w:rsidP="00AD3598">
            <w:pPr>
              <w:keepNext/>
              <w:jc w:val="both"/>
              <w:rPr>
                <w:color w:val="000000" w:themeColor="text1"/>
              </w:rPr>
            </w:pPr>
            <w:r w:rsidRPr="00AD3598">
              <w:rPr>
                <w:color w:val="000000" w:themeColor="text1"/>
              </w:rPr>
              <w:t xml:space="preserve">Yes, according to section 2.3.6.1.2.9, there are monitoring systems in place to oversee the implementation and enforcement of the policy tool, specifically for sustainability-linked bonds. The issuer is required to commit to periodic reporting that allows for the evaluation and measurement of key performance indicators (KPIs) against the defined sustainability </w:t>
            </w:r>
            <w:r w:rsidRPr="00AD3598">
              <w:rPr>
                <w:color w:val="000000" w:themeColor="text1"/>
              </w:rPr>
              <w:lastRenderedPageBreak/>
              <w:t xml:space="preserve">performance targets. These reports must be disclosed to the market at least annually or with the frequency defined for KPI measurement, ensuring timely monitoring by investors. </w:t>
            </w:r>
          </w:p>
          <w:p w14:paraId="2C2128DB" w14:textId="69AEF762" w:rsidR="00093CA9" w:rsidRPr="008017F9" w:rsidRDefault="00AD3598" w:rsidP="00AD3598">
            <w:pPr>
              <w:keepNext/>
              <w:jc w:val="both"/>
              <w:rPr>
                <w:color w:val="000000" w:themeColor="text1"/>
              </w:rPr>
            </w:pPr>
            <w:r w:rsidRPr="00AD3598">
              <w:rPr>
                <w:color w:val="000000" w:themeColor="text1"/>
              </w:rPr>
              <w:t>Additionally, the issuer must disclose the occurrence of trigger events and any changes in bond characteristics, as well as the methodology used for KPI calculation and any changes to it. The reports can be incorporated into annual or quarterly financial statements, and the issuer must specify the means of disclosure to investors, which may include open data platforms or other public mechanisms, thereby supporting transparency and ongoing oversight.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370D47AB" w:rsidR="00CF5268" w:rsidRDefault="00170C9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3C7909E8" w:rsidR="00CF5268" w:rsidRDefault="00170C9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A7DD1D1" w:rsidR="00CF5268" w:rsidRDefault="00170C9D"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17E6EBD0" w:rsidR="00CF5268" w:rsidRDefault="00170C9D"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10F13679" w:rsidR="00CF5268" w:rsidRDefault="00170C9D"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0C3845F" w:rsidR="466E435B" w:rsidRDefault="00170C9D"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37B9DDC5" w:rsidR="00CF5268" w:rsidRDefault="00170C9D" w:rsidP="00DD3144">
            <w:r>
              <w:t>X</w:t>
            </w:r>
          </w:p>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07D9D50" w:rsidR="466E435B" w:rsidRDefault="00170C9D"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E090299" w:rsidR="466E435B" w:rsidRDefault="00170C9D"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5AB556DC" w:rsidR="466E435B" w:rsidRDefault="00170C9D"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79D2275C" w:rsidR="466E435B" w:rsidRDefault="00170C9D"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E3CF4C7" w:rsidR="00CF5268" w:rsidRDefault="00170C9D"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76E6D0E4" w:rsidR="00CF5268" w:rsidRDefault="008722CB"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53872F9D" w:rsidR="004B2D74" w:rsidRDefault="00170C9D"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43A7228" w:rsidR="004B2D74" w:rsidRDefault="00170C9D"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513A0D05" w:rsidR="004B2D74" w:rsidRDefault="00170C9D"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6C38AF15" w:rsidR="004B2D74" w:rsidRDefault="00170C9D"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55A1B888" w:rsidR="004B2D74" w:rsidRDefault="00170C9D"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0FE8C1DA"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F6187F5" w:rsidR="004B2D74" w:rsidRDefault="008722CB"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BA9B1F3" w:rsidR="00B536E6" w:rsidRDefault="008722CB"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081C7925" w:rsidR="00B536E6" w:rsidRDefault="008722CB"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476026F4" w:rsidR="00B536E6" w:rsidRDefault="008722CB"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4EC3466A" w:rsidR="00B536E6" w:rsidRDefault="008722CB"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3471404D" w:rsidR="00B536E6" w:rsidRDefault="008722CB"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77BCA41C" w:rsidR="00B536E6" w:rsidRDefault="008722CB"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1AF0B3B8" w:rsidR="00B536E6" w:rsidRDefault="008722CB"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F2B62E7" w:rsidR="00B536E6" w:rsidRDefault="008722CB"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5E7DEF37" w:rsidR="00B536E6" w:rsidRDefault="008722CB"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204EECC5" w:rsidR="00B536E6" w:rsidRDefault="008722CB"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0EDE089A" w:rsidR="00B536E6" w:rsidRDefault="008722CB"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76FCB6E9" w:rsidR="00B536E6" w:rsidRDefault="008722CB"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580206F9" w:rsidR="00B536E6" w:rsidRDefault="008722CB"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0D261E3" w:rsidR="00B536E6" w:rsidRDefault="008722CB"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2021CBB" w:rsidR="00B536E6" w:rsidRDefault="008722CB"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614EE8D" w:rsidR="00B536E6" w:rsidRDefault="008722CB"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0C106F0B" w:rsidR="00B536E6" w:rsidRDefault="008722CB"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D80BEFA" w:rsidR="00B536E6" w:rsidRDefault="008722CB"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F2B6FAF" w:rsidR="00B536E6" w:rsidRDefault="008722CB"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06877F2" w:rsidR="00B536E6" w:rsidRDefault="008722CB"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02CE63FF" w:rsidR="00B536E6" w:rsidRDefault="008722CB"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42DEE263" w:rsidR="00B536E6" w:rsidRDefault="008722CB"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1073E04B" w:rsidR="0039223F" w:rsidRPr="00170C9D" w:rsidRDefault="00170C9D" w:rsidP="00DD3144">
            <w:pPr>
              <w:rPr>
                <w:lang w:val="en-US"/>
              </w:rPr>
            </w:pPr>
            <w:r>
              <w:t>T</w:t>
            </w:r>
            <w:r w:rsidRPr="00C95C13">
              <w:t xml:space="preserve">he regulatory provision under review is addressed to all securities issuers, meaning those legal entities—regardless of the sector in which they operate or their specific legal nature (such as insurance companies, banks, or finance companies)—that are registered as securities issuers in the </w:t>
            </w:r>
            <w:r w:rsidRPr="00170C9D">
              <w:rPr>
                <w:color w:val="000000" w:themeColor="text1"/>
              </w:rPr>
              <w:t xml:space="preserve">National Registry of Securities and Issuers </w:t>
            </w:r>
            <w:r>
              <w:rPr>
                <w:color w:val="000000" w:themeColor="text1"/>
              </w:rPr>
              <w:t>(</w:t>
            </w:r>
            <w:r w:rsidRPr="00C95C13">
              <w:t>RNV</w:t>
            </w:r>
            <w:r>
              <w:t xml:space="preserve">E). </w:t>
            </w:r>
            <w:r w:rsidRPr="00C95C13">
              <w:rPr>
                <w:lang w:val="en-US"/>
              </w:rPr>
              <w:t xml:space="preserve">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AFA452C" w:rsidR="00524D54" w:rsidRPr="003577A4" w:rsidRDefault="008722CB" w:rsidP="00DD3144">
            <w:r w:rsidRPr="008722CB">
              <w:t>Pension and Severance Fund Management Companies, Trust Companies, and Insurance Companies authorized to manage Voluntary Pension Funds.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16893F2" w:rsidR="00576ED8" w:rsidRDefault="00170C9D"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4007BC3" w:rsidR="00911F20" w:rsidRDefault="00170C9D"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6198C14D" w:rsidR="00911F20" w:rsidRDefault="00170C9D"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C3CA288" w:rsidR="00911F20" w:rsidRDefault="00170C9D"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F933AFB" w:rsidR="009C4798" w:rsidRDefault="00170C9D" w:rsidP="00DD3144">
            <w:r w:rsidRPr="0024663C">
              <w:rPr>
                <w:lang w:val="en-US"/>
              </w:rPr>
              <w:t xml:space="preserve">Although the regulatory provisions do not specifically address the consequences of non-compliance, reference must be made to Article </w:t>
            </w:r>
            <w:r>
              <w:rPr>
                <w:lang w:val="en-US"/>
              </w:rPr>
              <w:t>53</w:t>
            </w:r>
            <w:r w:rsidRPr="0024663C">
              <w:rPr>
                <w:lang w:val="en-US"/>
              </w:rPr>
              <w:t xml:space="preserve"> of </w:t>
            </w:r>
            <w:r>
              <w:rPr>
                <w:lang w:val="en-US"/>
              </w:rPr>
              <w:t>Law 964 de 2005</w:t>
            </w:r>
            <w:r w:rsidRPr="0024663C">
              <w:rPr>
                <w:lang w:val="en-US"/>
              </w:rPr>
              <w:t xml:space="preserve">, which sets forth the following sanctions: </w:t>
            </w:r>
            <w:r w:rsidRPr="0023706B">
              <w:rPr>
                <w:lang w:val="en-US"/>
              </w:rPr>
              <w:t>warnings, monetary fines, temporary suspension or disqualification from management or control functions, removal from such positions, suspension or cancellation of registration in relevant securities market registries, and penalties for breaches of capital adequacy and foreign currency exposure limits. Sanctions may be imposed concurrently, provided their nature allows for such accumulation.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E7D9E99" w:rsidR="00CB1649" w:rsidRPr="00FA0CF8" w:rsidRDefault="00170C9D"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3F94C9F"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24FDA74" w:rsidR="008063B5" w:rsidRDefault="00170C9D"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0DFD196D"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41094D34" w:rsidR="00042406" w:rsidRDefault="00170C9D"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CE3A021" w:rsidR="00042406" w:rsidRDefault="00170C9D"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6382DC77" w:rsidR="00042406" w:rsidRDefault="00170C9D"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E50B033" w:rsidR="00042406" w:rsidRDefault="00170C9D"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68846EBD" w:rsidR="00042406" w:rsidRDefault="00170C9D"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0CCAC23" w:rsidR="00042406" w:rsidRDefault="00170C9D"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B993D2D" w:rsidR="00042406" w:rsidRDefault="00170C9D"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41C51DC6" w:rsidR="00B0479E" w:rsidRDefault="008722CB"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2141117" w:rsidR="00EC42A1" w:rsidRDefault="008722CB"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6E0893B" w:rsidR="00EC42A1" w:rsidRDefault="008722CB"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3EFD6929" w:rsidR="00EC42A1" w:rsidRDefault="008722CB"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AB823BC" w:rsidR="00484663" w:rsidRDefault="008722CB"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53FB4F8" w:rsidR="00484663" w:rsidRDefault="008722CB"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180E677C" w:rsidR="00484663" w:rsidRDefault="008722CB"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BA4CE45"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9CCF95E" w:rsidR="00DA416F" w:rsidRPr="00DD3144" w:rsidRDefault="006475B6"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7873ACD" w:rsidR="00DA416F" w:rsidRPr="00DD3144" w:rsidRDefault="006475B6"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49E7B864" w:rsidR="00DA416F" w:rsidRPr="00DD3144" w:rsidRDefault="006475B6"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999C013" w:rsidR="00DA416F" w:rsidRPr="00DD3144" w:rsidRDefault="006475B6"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A6A7A61" w:rsidR="00DA416F" w:rsidRPr="00DD3144" w:rsidRDefault="006475B6"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1E5E781" w:rsidR="00DA416F" w:rsidRPr="00DD3144" w:rsidRDefault="006475B6"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03C3D75" w:rsidR="00DA416F" w:rsidRPr="00DD3144" w:rsidRDefault="006475B6"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EE7DDFF" w:rsidR="00DA416F" w:rsidRPr="00DD3144" w:rsidRDefault="006475B6"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4BEF1AE7" w:rsidR="00DA416F" w:rsidRPr="00DD3144" w:rsidRDefault="006475B6"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20E5F5B" w:rsidR="00DA416F" w:rsidRPr="00DD3144" w:rsidRDefault="006475B6"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C6D2C8E" w:rsidR="00DA416F" w:rsidRPr="00DD3144" w:rsidRDefault="006475B6"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3531F38" w:rsidR="00DA416F" w:rsidRPr="00DD3144" w:rsidRDefault="006475B6"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6E1AD2A" w:rsidR="00DA416F" w:rsidRPr="00DD3144" w:rsidRDefault="006475B6"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59DB1A20" w:rsidR="00DA416F" w:rsidRPr="00DD3144" w:rsidRDefault="008722CB"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C8A1F2E"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6475B6"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1CAD33DF" w14:textId="77777777" w:rsidR="006475B6" w:rsidRPr="006475B6" w:rsidRDefault="006475B6" w:rsidP="006475B6">
            <w:pPr>
              <w:rPr>
                <w:rFonts w:ascii="Calibri" w:hAnsi="Calibri" w:cs="Calibri"/>
              </w:rPr>
            </w:pPr>
            <w:r w:rsidRPr="006475B6">
              <w:rPr>
                <w:rFonts w:ascii="Calibri" w:hAnsi="Calibri" w:cs="Calibri"/>
              </w:rPr>
              <w:t>The ISO 14064 standards.</w:t>
            </w:r>
          </w:p>
          <w:p w14:paraId="799C1AA4" w14:textId="36BC1771" w:rsidR="006475B6" w:rsidRPr="006475B6" w:rsidRDefault="006475B6" w:rsidP="006475B6">
            <w:pPr>
              <w:rPr>
                <w:rFonts w:ascii="Calibri" w:hAnsi="Calibri" w:cs="Calibri"/>
                <w:lang w:val="en-US"/>
              </w:rPr>
            </w:pPr>
            <w:r w:rsidRPr="006475B6">
              <w:rPr>
                <w:rFonts w:ascii="Calibri" w:hAnsi="Calibri" w:cs="Calibri"/>
              </w:rPr>
              <w:t>The regulation also expressly refers to nationally and internationally recognized classification systems or taxonomies. By way of illustration, it provides: “</w:t>
            </w:r>
            <w:r w:rsidRPr="006475B6">
              <w:rPr>
                <w:rFonts w:ascii="Calibri" w:hAnsi="Calibri" w:cs="Calibri"/>
                <w:i/>
                <w:iCs/>
              </w:rPr>
              <w:t>A taxonomy nationally recognized shall be understood as the Colombian Green Taxonomy</w:t>
            </w:r>
            <w:r w:rsidRPr="006475B6">
              <w:rPr>
                <w:rFonts w:ascii="Calibri" w:hAnsi="Calibri" w:cs="Calibri"/>
              </w:rPr>
              <w:t>.”</w:t>
            </w:r>
            <w:r w:rsidR="00787098">
              <w:rPr>
                <w:rFonts w:ascii="Calibri" w:hAnsi="Calibri" w:cs="Calibri"/>
              </w:rPr>
              <w:t xml:space="preserve"> A</w:t>
            </w:r>
            <w:r w:rsidR="00787098">
              <w:rPr>
                <w:lang w:val="en-US"/>
              </w:rPr>
              <w:t xml:space="preserve">vailable at the following </w:t>
            </w:r>
            <w:hyperlink r:id="rId18" w:history="1">
              <w:r w:rsidR="00787098" w:rsidRPr="00124797">
                <w:rPr>
                  <w:rStyle w:val="Hyperlink"/>
                  <w:lang w:val="en-US"/>
                </w:rPr>
                <w:t>Web-archived link</w:t>
              </w:r>
            </w:hyperlink>
            <w:r w:rsidR="00787098">
              <w:rPr>
                <w:lang w:val="en-US"/>
              </w:rP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B10393" w14:textId="77777777" w:rsidR="00EE57F7" w:rsidRDefault="00EE57F7" w:rsidP="00874E39">
      <w:r>
        <w:separator/>
      </w:r>
    </w:p>
  </w:endnote>
  <w:endnote w:type="continuationSeparator" w:id="0">
    <w:p w14:paraId="0DA23C7A" w14:textId="77777777" w:rsidR="00EE57F7" w:rsidRDefault="00EE57F7" w:rsidP="00874E39">
      <w:r>
        <w:continuationSeparator/>
      </w:r>
    </w:p>
  </w:endnote>
  <w:endnote w:type="continuationNotice" w:id="1">
    <w:p w14:paraId="4C9277D5" w14:textId="77777777" w:rsidR="00EE57F7" w:rsidRDefault="00EE57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DC8EB5" w14:textId="77777777" w:rsidR="00EE57F7" w:rsidRDefault="00EE57F7" w:rsidP="00874E39">
      <w:r>
        <w:separator/>
      </w:r>
    </w:p>
  </w:footnote>
  <w:footnote w:type="continuationSeparator" w:id="0">
    <w:p w14:paraId="60F33A19" w14:textId="77777777" w:rsidR="00EE57F7" w:rsidRDefault="00EE57F7" w:rsidP="00874E39">
      <w:r>
        <w:continuationSeparator/>
      </w:r>
    </w:p>
  </w:footnote>
  <w:footnote w:type="continuationNotice" w:id="1">
    <w:p w14:paraId="613267A2" w14:textId="77777777" w:rsidR="00EE57F7" w:rsidRDefault="00EE57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5C6"/>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8AC"/>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0C9D"/>
    <w:rsid w:val="00172B85"/>
    <w:rsid w:val="00173D7C"/>
    <w:rsid w:val="0017449C"/>
    <w:rsid w:val="001749C3"/>
    <w:rsid w:val="00176011"/>
    <w:rsid w:val="00180289"/>
    <w:rsid w:val="00182288"/>
    <w:rsid w:val="00182646"/>
    <w:rsid w:val="00183170"/>
    <w:rsid w:val="00184609"/>
    <w:rsid w:val="0018471D"/>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847"/>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3B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A83"/>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0E6D"/>
    <w:rsid w:val="002C14C2"/>
    <w:rsid w:val="002C169C"/>
    <w:rsid w:val="002C21C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34A"/>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C22"/>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E7F7E"/>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5B6"/>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5FF"/>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098"/>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2CB"/>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A8C"/>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41E"/>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598"/>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8E6"/>
    <w:rsid w:val="00B32231"/>
    <w:rsid w:val="00B35E99"/>
    <w:rsid w:val="00B3701E"/>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4D5"/>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F7"/>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C88"/>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C52"/>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41258/https:/www.taxonomiaverde.gov.co/documents/316219/336660/Taxonom%C3%ADa+Verde+de+Colombia.pdf/f25c7843-9a15-17da-90f9-5d63763b85b6?t=1649352720000"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1955/https:/www.superfinanciera.gov.co/publicaciones/10115528/circular-basica-juridica-ce-006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18A2E203-B773-45B8-94BB-8476196C5286}"/>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112</Pages>
  <Words>23203</Words>
  <Characters>127621</Characters>
  <Application>Microsoft Office Word</Application>
  <DocSecurity>0</DocSecurity>
  <Lines>1063</Lines>
  <Paragraphs>301</Paragraphs>
  <ScaleCrop>false</ScaleCrop>
  <Company/>
  <LinksUpToDate>false</LinksUpToDate>
  <CharactersWithSpaces>150523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15</cp:revision>
  <cp:lastPrinted>2025-03-21T00:14:00Z</cp:lastPrinted>
  <dcterms:created xsi:type="dcterms:W3CDTF">2025-06-25T15:10:00Z</dcterms:created>
  <dcterms:modified xsi:type="dcterms:W3CDTF">2025-07-10T15:34:00Z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